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D6" w:rsidRPr="00130331" w:rsidRDefault="00D57645" w:rsidP="0077630C">
      <w:pPr>
        <w:spacing w:after="0" w:line="240" w:lineRule="auto"/>
        <w:jc w:val="center"/>
      </w:pPr>
      <w:r w:rsidRPr="00130331">
        <w:t>INDICE (Formación 2.0)</w:t>
      </w:r>
    </w:p>
    <w:p w:rsidR="00FA6ACD" w:rsidRPr="00130331" w:rsidRDefault="00FA6ACD" w:rsidP="00FA6ACD">
      <w:pPr>
        <w:spacing w:after="0" w:line="240" w:lineRule="auto"/>
        <w:jc w:val="center"/>
        <w:rPr>
          <w:b/>
          <w:color w:val="1F3864" w:themeColor="accent5" w:themeShade="80"/>
          <w:sz w:val="36"/>
        </w:rPr>
      </w:pPr>
      <w:r w:rsidRPr="00130331">
        <w:rPr>
          <w:b/>
          <w:color w:val="1F3864" w:themeColor="accent5" w:themeShade="80"/>
          <w:sz w:val="36"/>
        </w:rPr>
        <w:t>Finanza para no financieros.</w:t>
      </w:r>
    </w:p>
    <w:p w:rsidR="00293486" w:rsidRPr="00130331" w:rsidRDefault="00293486" w:rsidP="00293486">
      <w:pPr>
        <w:spacing w:after="0" w:line="240" w:lineRule="auto"/>
      </w:pPr>
    </w:p>
    <w:p w:rsidR="0077630C" w:rsidRPr="00130331" w:rsidRDefault="0077630C" w:rsidP="00293486">
      <w:pPr>
        <w:spacing w:after="0" w:line="240" w:lineRule="auto"/>
      </w:pPr>
    </w:p>
    <w:p w:rsidR="000C461D" w:rsidRPr="00130331" w:rsidRDefault="0077630C" w:rsidP="00CB7CB3">
      <w:pPr>
        <w:spacing w:after="0"/>
        <w:rPr>
          <w:b/>
          <w:color w:val="1F3864" w:themeColor="accent5" w:themeShade="80"/>
          <w:sz w:val="28"/>
        </w:rPr>
      </w:pPr>
      <w:r w:rsidRPr="00130331">
        <w:rPr>
          <w:b/>
          <w:color w:val="1F3864" w:themeColor="accent5" w:themeShade="80"/>
          <w:sz w:val="28"/>
        </w:rPr>
        <w:t xml:space="preserve">MÓDULO 1: </w:t>
      </w:r>
      <w:r w:rsidR="00891F15" w:rsidRPr="00130331">
        <w:rPr>
          <w:b/>
          <w:color w:val="1F3864" w:themeColor="accent5" w:themeShade="80"/>
          <w:sz w:val="28"/>
        </w:rPr>
        <w:t>La gestión financiera</w:t>
      </w:r>
      <w:r w:rsidR="00CB7CB3" w:rsidRPr="00130331">
        <w:rPr>
          <w:b/>
          <w:color w:val="1F3864" w:themeColor="accent5" w:themeShade="80"/>
          <w:sz w:val="28"/>
        </w:rPr>
        <w:t>:</w:t>
      </w:r>
    </w:p>
    <w:p w:rsidR="00CB7CB3" w:rsidRPr="00130331" w:rsidRDefault="00CB7CB3" w:rsidP="00CB7CB3">
      <w:pPr>
        <w:spacing w:after="0"/>
      </w:pPr>
    </w:p>
    <w:p w:rsidR="00B955EA" w:rsidRPr="00130331" w:rsidRDefault="0077630C" w:rsidP="00C60F31">
      <w:pPr>
        <w:spacing w:after="0"/>
        <w:ind w:firstLine="708"/>
      </w:pPr>
      <w:r w:rsidRPr="00130331">
        <w:t xml:space="preserve">MATERIA 1: </w:t>
      </w:r>
      <w:r w:rsidR="005670B2">
        <w:t>Importancia</w:t>
      </w:r>
    </w:p>
    <w:p w:rsidR="00AD295B" w:rsidRPr="00130331" w:rsidRDefault="00891F15" w:rsidP="00CB7CB3">
      <w:pPr>
        <w:pStyle w:val="Prrafodelista"/>
        <w:numPr>
          <w:ilvl w:val="0"/>
          <w:numId w:val="8"/>
        </w:numPr>
        <w:spacing w:after="0"/>
        <w:ind w:left="1843" w:hanging="283"/>
      </w:pPr>
      <w:r w:rsidRPr="00130331">
        <w:t>La contabilidad com</w:t>
      </w:r>
      <w:r w:rsidR="005670B2">
        <w:t>o descriptor de una empresa</w:t>
      </w:r>
    </w:p>
    <w:p w:rsidR="00891F15" w:rsidRPr="00130331" w:rsidRDefault="00891F15" w:rsidP="00CB7CB3">
      <w:pPr>
        <w:pStyle w:val="Prrafodelista"/>
        <w:numPr>
          <w:ilvl w:val="0"/>
          <w:numId w:val="8"/>
        </w:numPr>
        <w:spacing w:after="0"/>
        <w:ind w:left="1843" w:hanging="283"/>
      </w:pPr>
      <w:r w:rsidRPr="00130331">
        <w:t>Usuarios de</w:t>
      </w:r>
      <w:r w:rsidR="005670B2">
        <w:t xml:space="preserve"> la información financiera </w:t>
      </w:r>
    </w:p>
    <w:p w:rsidR="00CB7CB3" w:rsidRPr="00130331" w:rsidRDefault="00CB7CB3" w:rsidP="00130331">
      <w:pPr>
        <w:spacing w:after="0"/>
      </w:pPr>
    </w:p>
    <w:p w:rsidR="00B955EA" w:rsidRPr="00130331" w:rsidRDefault="0077630C" w:rsidP="00CB7CB3">
      <w:pPr>
        <w:spacing w:after="0"/>
        <w:ind w:firstLine="708"/>
      </w:pPr>
      <w:r w:rsidRPr="00130331">
        <w:t xml:space="preserve">MATERIA 2: </w:t>
      </w:r>
      <w:r w:rsidR="005670B2">
        <w:t xml:space="preserve">Principios contables </w:t>
      </w:r>
    </w:p>
    <w:p w:rsidR="00AD295B" w:rsidRPr="00130331" w:rsidRDefault="00891F15" w:rsidP="00CB7CB3">
      <w:pPr>
        <w:pStyle w:val="Prrafodelista"/>
        <w:numPr>
          <w:ilvl w:val="0"/>
          <w:numId w:val="9"/>
        </w:numPr>
        <w:spacing w:after="0"/>
        <w:ind w:left="1843" w:hanging="283"/>
      </w:pPr>
      <w:r w:rsidRPr="00130331">
        <w:t xml:space="preserve">Características </w:t>
      </w:r>
      <w:r w:rsidR="005670B2">
        <w:t>de la información contable</w:t>
      </w:r>
    </w:p>
    <w:p w:rsidR="00891F15" w:rsidRPr="00130331" w:rsidRDefault="00891F15" w:rsidP="00CB7CB3">
      <w:pPr>
        <w:pStyle w:val="Prrafodelista"/>
        <w:numPr>
          <w:ilvl w:val="0"/>
          <w:numId w:val="9"/>
        </w:numPr>
        <w:spacing w:after="0"/>
        <w:ind w:left="1843" w:hanging="283"/>
      </w:pPr>
      <w:r w:rsidRPr="00130331">
        <w:t>Principios de contabilidad ge</w:t>
      </w:r>
      <w:r w:rsidR="005670B2">
        <w:t>neralmente aceptados (PCGA)</w:t>
      </w:r>
    </w:p>
    <w:p w:rsidR="00891F15" w:rsidRPr="00130331" w:rsidRDefault="005670B2" w:rsidP="00CB7CB3">
      <w:pPr>
        <w:pStyle w:val="Prrafodelista"/>
        <w:numPr>
          <w:ilvl w:val="0"/>
          <w:numId w:val="9"/>
        </w:numPr>
        <w:spacing w:after="0"/>
        <w:ind w:left="1843" w:hanging="283"/>
      </w:pPr>
      <w:r>
        <w:t>Las normas NIIF</w:t>
      </w:r>
    </w:p>
    <w:p w:rsidR="00AD295B" w:rsidRPr="00130331" w:rsidRDefault="00AD295B" w:rsidP="00130331">
      <w:pPr>
        <w:spacing w:after="0"/>
        <w:rPr>
          <w:b/>
          <w:color w:val="1F3864" w:themeColor="accent5" w:themeShade="80"/>
          <w:sz w:val="28"/>
        </w:rPr>
      </w:pPr>
    </w:p>
    <w:p w:rsidR="000C461D" w:rsidRPr="00130331" w:rsidRDefault="0077630C" w:rsidP="00C60F31">
      <w:pPr>
        <w:spacing w:after="0"/>
        <w:rPr>
          <w:b/>
          <w:color w:val="1F3864" w:themeColor="accent5" w:themeShade="80"/>
          <w:sz w:val="28"/>
        </w:rPr>
      </w:pPr>
      <w:r w:rsidRPr="00130331">
        <w:rPr>
          <w:b/>
          <w:color w:val="1F3864" w:themeColor="accent5" w:themeShade="80"/>
          <w:sz w:val="28"/>
        </w:rPr>
        <w:t xml:space="preserve">MÓDULO 2: </w:t>
      </w:r>
      <w:r w:rsidR="00891F15" w:rsidRPr="00130331">
        <w:rPr>
          <w:b/>
          <w:color w:val="1F3864" w:themeColor="accent5" w:themeShade="80"/>
          <w:sz w:val="28"/>
        </w:rPr>
        <w:t>Los estados financieros</w:t>
      </w:r>
      <w:r w:rsidR="00CB7CB3" w:rsidRPr="00130331">
        <w:rPr>
          <w:b/>
          <w:color w:val="1F3864" w:themeColor="accent5" w:themeShade="80"/>
          <w:sz w:val="28"/>
        </w:rPr>
        <w:t>:</w:t>
      </w:r>
    </w:p>
    <w:p w:rsidR="00CB7CB3" w:rsidRPr="00130331" w:rsidRDefault="00CB7CB3" w:rsidP="00CB7CB3">
      <w:pPr>
        <w:spacing w:after="0"/>
      </w:pPr>
    </w:p>
    <w:p w:rsidR="00B955EA" w:rsidRPr="00130331" w:rsidRDefault="0077630C" w:rsidP="00C60F31">
      <w:pPr>
        <w:spacing w:after="0"/>
        <w:ind w:firstLine="708"/>
      </w:pPr>
      <w:r w:rsidRPr="00130331">
        <w:t xml:space="preserve">MATERIA 1: </w:t>
      </w:r>
      <w:r w:rsidR="005670B2">
        <w:t xml:space="preserve">El balance general </w:t>
      </w:r>
    </w:p>
    <w:p w:rsidR="00AD295B" w:rsidRPr="00130331" w:rsidRDefault="005670B2" w:rsidP="00CB7CB3">
      <w:pPr>
        <w:pStyle w:val="Prrafodelista"/>
        <w:numPr>
          <w:ilvl w:val="0"/>
          <w:numId w:val="11"/>
        </w:numPr>
        <w:spacing w:after="0"/>
        <w:ind w:left="1843" w:hanging="283"/>
      </w:pPr>
      <w:r>
        <w:t xml:space="preserve">Significado e importancia </w:t>
      </w:r>
    </w:p>
    <w:p w:rsidR="00896018" w:rsidRPr="00130331" w:rsidRDefault="005670B2" w:rsidP="00CB7CB3">
      <w:pPr>
        <w:pStyle w:val="Prrafodelista"/>
        <w:numPr>
          <w:ilvl w:val="0"/>
          <w:numId w:val="11"/>
        </w:numPr>
        <w:spacing w:after="0"/>
        <w:ind w:left="1843" w:hanging="283"/>
      </w:pPr>
      <w:r>
        <w:t xml:space="preserve">Estructura </w:t>
      </w:r>
    </w:p>
    <w:p w:rsidR="00CB7CB3" w:rsidRPr="00130331" w:rsidRDefault="00CB7CB3" w:rsidP="00CB7CB3">
      <w:pPr>
        <w:pStyle w:val="Prrafodelista"/>
        <w:spacing w:after="0"/>
        <w:ind w:left="1843"/>
      </w:pPr>
    </w:p>
    <w:p w:rsidR="00B955EA" w:rsidRPr="00130331" w:rsidRDefault="0077630C" w:rsidP="00CB7CB3">
      <w:pPr>
        <w:spacing w:after="0"/>
        <w:ind w:firstLine="708"/>
      </w:pPr>
      <w:r w:rsidRPr="00130331">
        <w:t xml:space="preserve">MATERIA 2: </w:t>
      </w:r>
      <w:r w:rsidR="005670B2">
        <w:t>Estado de resultados</w:t>
      </w:r>
    </w:p>
    <w:p w:rsidR="005C192D" w:rsidRPr="00130331" w:rsidRDefault="005670B2" w:rsidP="00CB7CB3">
      <w:pPr>
        <w:pStyle w:val="Prrafodelista"/>
        <w:numPr>
          <w:ilvl w:val="0"/>
          <w:numId w:val="12"/>
        </w:numPr>
        <w:spacing w:after="0"/>
        <w:ind w:left="1843" w:hanging="283"/>
      </w:pPr>
      <w:r>
        <w:t xml:space="preserve">Significado e importancia </w:t>
      </w:r>
    </w:p>
    <w:p w:rsidR="00896018" w:rsidRPr="00130331" w:rsidRDefault="00896018" w:rsidP="00CB7CB3">
      <w:pPr>
        <w:pStyle w:val="Prrafodelista"/>
        <w:numPr>
          <w:ilvl w:val="0"/>
          <w:numId w:val="12"/>
        </w:numPr>
        <w:spacing w:after="0"/>
        <w:ind w:left="1843" w:hanging="283"/>
      </w:pPr>
      <w:r w:rsidRPr="00130331">
        <w:t>Estructur</w:t>
      </w:r>
      <w:r w:rsidR="005670B2">
        <w:t xml:space="preserve">a del estado de resultados </w:t>
      </w:r>
    </w:p>
    <w:p w:rsidR="00896018" w:rsidRPr="00130331" w:rsidRDefault="00896018" w:rsidP="00CB7CB3">
      <w:pPr>
        <w:pStyle w:val="Prrafodelista"/>
        <w:numPr>
          <w:ilvl w:val="0"/>
          <w:numId w:val="12"/>
        </w:numPr>
        <w:spacing w:after="0"/>
        <w:ind w:left="1843" w:hanging="283"/>
      </w:pPr>
      <w:r w:rsidRPr="00130331">
        <w:t>Análisi</w:t>
      </w:r>
      <w:r w:rsidR="005670B2">
        <w:t xml:space="preserve">s del estado de resultados </w:t>
      </w:r>
    </w:p>
    <w:p w:rsidR="00CB7CB3" w:rsidRPr="00130331" w:rsidRDefault="00CB7CB3" w:rsidP="00CB7CB3">
      <w:pPr>
        <w:pStyle w:val="Prrafodelista"/>
        <w:spacing w:after="0"/>
        <w:ind w:left="1843"/>
      </w:pPr>
    </w:p>
    <w:p w:rsidR="00891F15" w:rsidRPr="00130331" w:rsidRDefault="00891F15" w:rsidP="00CB7CB3">
      <w:pPr>
        <w:spacing w:after="0"/>
        <w:ind w:firstLine="708"/>
      </w:pPr>
      <w:r w:rsidRPr="00130331">
        <w:t>M</w:t>
      </w:r>
      <w:r w:rsidR="005670B2">
        <w:t>ATERIA 3: Flujo de efectivo</w:t>
      </w:r>
    </w:p>
    <w:p w:rsidR="00891F15" w:rsidRPr="00130331" w:rsidRDefault="00896018" w:rsidP="00CB7CB3">
      <w:pPr>
        <w:pStyle w:val="Prrafodelista"/>
        <w:numPr>
          <w:ilvl w:val="0"/>
          <w:numId w:val="23"/>
        </w:numPr>
        <w:spacing w:after="0"/>
        <w:ind w:left="1843" w:hanging="283"/>
      </w:pPr>
      <w:r w:rsidRPr="00130331">
        <w:t>Objetivo del e</w:t>
      </w:r>
      <w:r w:rsidR="005670B2">
        <w:t xml:space="preserve">stado de flujo de efectivo </w:t>
      </w:r>
    </w:p>
    <w:p w:rsidR="00896018" w:rsidRPr="00130331" w:rsidRDefault="00896018" w:rsidP="00CB7CB3">
      <w:pPr>
        <w:pStyle w:val="Prrafodelista"/>
        <w:numPr>
          <w:ilvl w:val="0"/>
          <w:numId w:val="23"/>
        </w:numPr>
        <w:spacing w:after="0"/>
        <w:ind w:left="1843" w:hanging="283"/>
      </w:pPr>
      <w:r w:rsidRPr="00130331">
        <w:t>Estructura del estado</w:t>
      </w:r>
      <w:r w:rsidR="005670B2">
        <w:t xml:space="preserve"> de flujo de efectivo </w:t>
      </w:r>
    </w:p>
    <w:p w:rsidR="00967B48" w:rsidRPr="00130331" w:rsidRDefault="00896018" w:rsidP="00CB7CB3">
      <w:pPr>
        <w:pStyle w:val="Prrafodelista"/>
        <w:numPr>
          <w:ilvl w:val="0"/>
          <w:numId w:val="23"/>
        </w:numPr>
        <w:spacing w:after="0"/>
        <w:ind w:left="1843" w:hanging="283"/>
      </w:pPr>
      <w:r w:rsidRPr="00130331">
        <w:t>Análisis del e</w:t>
      </w:r>
      <w:r w:rsidR="005670B2">
        <w:t xml:space="preserve">stado de flujo de efectivo </w:t>
      </w:r>
    </w:p>
    <w:p w:rsidR="00896018" w:rsidRPr="00130331" w:rsidRDefault="00896018" w:rsidP="00896018">
      <w:pPr>
        <w:pStyle w:val="Prrafodelista"/>
        <w:ind w:left="1843"/>
      </w:pPr>
    </w:p>
    <w:p w:rsidR="000C461D" w:rsidRPr="00130331" w:rsidRDefault="0077630C" w:rsidP="00C60F31">
      <w:pPr>
        <w:spacing w:after="0"/>
        <w:rPr>
          <w:b/>
          <w:color w:val="1F3864" w:themeColor="accent5" w:themeShade="80"/>
          <w:sz w:val="28"/>
        </w:rPr>
      </w:pPr>
      <w:r w:rsidRPr="00130331">
        <w:rPr>
          <w:b/>
          <w:color w:val="1F3864" w:themeColor="accent5" w:themeShade="80"/>
          <w:sz w:val="28"/>
        </w:rPr>
        <w:t xml:space="preserve">MÓDULO 3: </w:t>
      </w:r>
      <w:r w:rsidR="00891F15" w:rsidRPr="00130331">
        <w:rPr>
          <w:b/>
          <w:color w:val="1F3864" w:themeColor="accent5" w:themeShade="80"/>
          <w:sz w:val="28"/>
        </w:rPr>
        <w:t>Los indicadores financieros</w:t>
      </w:r>
      <w:r w:rsidR="00CB7CB3" w:rsidRPr="00130331">
        <w:rPr>
          <w:b/>
          <w:color w:val="1F3864" w:themeColor="accent5" w:themeShade="80"/>
          <w:sz w:val="28"/>
        </w:rPr>
        <w:t>:</w:t>
      </w:r>
    </w:p>
    <w:p w:rsidR="00CB7CB3" w:rsidRPr="00130331" w:rsidRDefault="00CB7CB3" w:rsidP="00CB7CB3">
      <w:pPr>
        <w:spacing w:after="0"/>
      </w:pPr>
    </w:p>
    <w:p w:rsidR="00BE44E7" w:rsidRPr="00130331" w:rsidRDefault="0077630C" w:rsidP="00C60F31">
      <w:pPr>
        <w:spacing w:after="0"/>
        <w:ind w:firstLine="708"/>
      </w:pPr>
      <w:r w:rsidRPr="00130331">
        <w:t xml:space="preserve">MATERIA 1: </w:t>
      </w:r>
      <w:r w:rsidR="00896018" w:rsidRPr="00130331">
        <w:t>Principa</w:t>
      </w:r>
      <w:r w:rsidR="005670B2">
        <w:t xml:space="preserve">les indicadores financieros </w:t>
      </w:r>
    </w:p>
    <w:p w:rsidR="00702B35" w:rsidRPr="00130331" w:rsidRDefault="00896018" w:rsidP="00CB7CB3">
      <w:pPr>
        <w:pStyle w:val="Prrafodelista"/>
        <w:numPr>
          <w:ilvl w:val="0"/>
          <w:numId w:val="16"/>
        </w:numPr>
        <w:spacing w:after="0"/>
        <w:ind w:left="1843" w:hanging="283"/>
      </w:pPr>
      <w:r w:rsidRPr="00130331">
        <w:t>Relación</w:t>
      </w:r>
      <w:r w:rsidR="005670B2">
        <w:t xml:space="preserve"> entre indicadores y valor </w:t>
      </w:r>
    </w:p>
    <w:p w:rsidR="00896018" w:rsidRPr="00130331" w:rsidRDefault="005670B2" w:rsidP="00CB7CB3">
      <w:pPr>
        <w:pStyle w:val="Prrafodelista"/>
        <w:numPr>
          <w:ilvl w:val="0"/>
          <w:numId w:val="16"/>
        </w:numPr>
        <w:spacing w:after="0"/>
        <w:ind w:left="1843" w:hanging="283"/>
      </w:pPr>
      <w:r>
        <w:t xml:space="preserve">Indicadores de liquidez </w:t>
      </w:r>
    </w:p>
    <w:p w:rsidR="00896018" w:rsidRPr="00130331" w:rsidRDefault="00896018" w:rsidP="00CB7CB3">
      <w:pPr>
        <w:pStyle w:val="Prrafodelista"/>
        <w:numPr>
          <w:ilvl w:val="0"/>
          <w:numId w:val="16"/>
        </w:numPr>
        <w:spacing w:after="0"/>
        <w:ind w:left="1843" w:hanging="283"/>
      </w:pPr>
      <w:r w:rsidRPr="00130331">
        <w:t xml:space="preserve">Indicadores de </w:t>
      </w:r>
      <w:r w:rsidR="005670B2">
        <w:t xml:space="preserve">endeudamiento </w:t>
      </w:r>
    </w:p>
    <w:p w:rsidR="00896018" w:rsidRPr="00130331" w:rsidRDefault="00896018" w:rsidP="00CB7CB3">
      <w:pPr>
        <w:pStyle w:val="Prrafodelista"/>
        <w:numPr>
          <w:ilvl w:val="0"/>
          <w:numId w:val="16"/>
        </w:numPr>
        <w:spacing w:after="0"/>
        <w:ind w:left="1843" w:hanging="283"/>
      </w:pPr>
      <w:r w:rsidRPr="00130331">
        <w:t>I</w:t>
      </w:r>
      <w:r w:rsidR="005670B2">
        <w:t xml:space="preserve">ndicadores de rentabilidad </w:t>
      </w:r>
    </w:p>
    <w:p w:rsidR="00AD295B" w:rsidRPr="00130331" w:rsidRDefault="00896018" w:rsidP="00CB7CB3">
      <w:pPr>
        <w:pStyle w:val="Prrafodelista"/>
        <w:numPr>
          <w:ilvl w:val="0"/>
          <w:numId w:val="16"/>
        </w:numPr>
        <w:spacing w:after="0"/>
        <w:ind w:left="1843" w:hanging="283"/>
      </w:pPr>
      <w:r w:rsidRPr="00130331">
        <w:t>Indicadores operativos.</w:t>
      </w:r>
    </w:p>
    <w:p w:rsidR="00896DF5" w:rsidRPr="00130331" w:rsidRDefault="00896DF5" w:rsidP="00CB7CB3">
      <w:pPr>
        <w:pStyle w:val="Prrafodelista"/>
        <w:spacing w:after="0"/>
        <w:ind w:left="1843"/>
      </w:pPr>
    </w:p>
    <w:p w:rsidR="00130331" w:rsidRDefault="00130331" w:rsidP="00C60F31">
      <w:pPr>
        <w:spacing w:after="0"/>
        <w:rPr>
          <w:b/>
          <w:color w:val="1F3864" w:themeColor="accent5" w:themeShade="80"/>
          <w:sz w:val="28"/>
        </w:rPr>
      </w:pPr>
    </w:p>
    <w:p w:rsidR="00130331" w:rsidRDefault="00130331" w:rsidP="00C60F31">
      <w:pPr>
        <w:spacing w:after="0"/>
        <w:rPr>
          <w:b/>
          <w:color w:val="1F3864" w:themeColor="accent5" w:themeShade="80"/>
          <w:sz w:val="28"/>
        </w:rPr>
      </w:pPr>
    </w:p>
    <w:p w:rsidR="00AD295B" w:rsidRPr="00130331" w:rsidRDefault="00AD295B" w:rsidP="00C60F31">
      <w:pPr>
        <w:spacing w:after="0"/>
        <w:rPr>
          <w:b/>
          <w:color w:val="1F3864" w:themeColor="accent5" w:themeShade="80"/>
          <w:sz w:val="28"/>
        </w:rPr>
      </w:pPr>
      <w:r w:rsidRPr="00130331">
        <w:rPr>
          <w:b/>
          <w:color w:val="1F3864" w:themeColor="accent5" w:themeShade="80"/>
          <w:sz w:val="28"/>
        </w:rPr>
        <w:lastRenderedPageBreak/>
        <w:t xml:space="preserve">MÓDULO 4: </w:t>
      </w:r>
      <w:r w:rsidR="00891F15" w:rsidRPr="00130331">
        <w:rPr>
          <w:b/>
          <w:color w:val="1F3864" w:themeColor="accent5" w:themeShade="80"/>
          <w:sz w:val="28"/>
        </w:rPr>
        <w:t>Mercados financieros</w:t>
      </w:r>
      <w:r w:rsidR="00CB7CB3" w:rsidRPr="00130331">
        <w:rPr>
          <w:b/>
          <w:color w:val="1F3864" w:themeColor="accent5" w:themeShade="80"/>
          <w:sz w:val="28"/>
        </w:rPr>
        <w:t>:</w:t>
      </w:r>
    </w:p>
    <w:p w:rsidR="00CB7CB3" w:rsidRPr="00130331" w:rsidRDefault="00CB7CB3" w:rsidP="00CB7CB3">
      <w:pPr>
        <w:spacing w:after="0"/>
      </w:pPr>
    </w:p>
    <w:p w:rsidR="00896DF5" w:rsidRPr="00130331" w:rsidRDefault="00896DF5" w:rsidP="00C60F31">
      <w:pPr>
        <w:spacing w:after="0"/>
        <w:ind w:firstLine="708"/>
      </w:pPr>
      <w:r w:rsidRPr="00130331">
        <w:t xml:space="preserve">MATERIA </w:t>
      </w:r>
      <w:r w:rsidR="005670B2">
        <w:t>1: El mercado de renta fija</w:t>
      </w:r>
    </w:p>
    <w:p w:rsidR="00896DF5" w:rsidRPr="00130331" w:rsidRDefault="00896DF5" w:rsidP="00CB7CB3">
      <w:pPr>
        <w:pStyle w:val="Prrafodelista"/>
        <w:numPr>
          <w:ilvl w:val="0"/>
          <w:numId w:val="24"/>
        </w:numPr>
        <w:spacing w:after="0"/>
        <w:ind w:left="1843" w:hanging="283"/>
      </w:pPr>
      <w:r w:rsidRPr="00130331">
        <w:t>Bonos para el fin</w:t>
      </w:r>
      <w:r w:rsidR="005670B2">
        <w:t xml:space="preserve">anciamiento de las empresas </w:t>
      </w:r>
    </w:p>
    <w:p w:rsidR="00896DF5" w:rsidRPr="00130331" w:rsidRDefault="005670B2" w:rsidP="00CB7CB3">
      <w:pPr>
        <w:pStyle w:val="Prrafodelista"/>
        <w:numPr>
          <w:ilvl w:val="0"/>
          <w:numId w:val="24"/>
        </w:numPr>
        <w:spacing w:after="0"/>
        <w:ind w:left="1843" w:hanging="283"/>
      </w:pPr>
      <w:r>
        <w:t xml:space="preserve">Historia de los bonos </w:t>
      </w:r>
    </w:p>
    <w:p w:rsidR="00896DF5" w:rsidRPr="00130331" w:rsidRDefault="00896DF5" w:rsidP="00CB7CB3">
      <w:pPr>
        <w:pStyle w:val="Prrafodelista"/>
        <w:numPr>
          <w:ilvl w:val="0"/>
          <w:numId w:val="24"/>
        </w:numPr>
        <w:spacing w:after="0"/>
        <w:ind w:left="1843" w:hanging="283"/>
      </w:pPr>
      <w:r w:rsidRPr="00130331">
        <w:t xml:space="preserve">Las agencias de </w:t>
      </w:r>
      <w:r w:rsidR="005670B2">
        <w:t>calificación</w:t>
      </w:r>
    </w:p>
    <w:p w:rsidR="00896DF5" w:rsidRPr="00130331" w:rsidRDefault="005670B2" w:rsidP="00CB7CB3">
      <w:pPr>
        <w:pStyle w:val="Prrafodelista"/>
        <w:numPr>
          <w:ilvl w:val="0"/>
          <w:numId w:val="24"/>
        </w:numPr>
        <w:spacing w:after="0"/>
        <w:ind w:left="1843" w:hanging="283"/>
      </w:pPr>
      <w:r>
        <w:t xml:space="preserve">Bonos corporativos </w:t>
      </w:r>
    </w:p>
    <w:p w:rsidR="00CB7CB3" w:rsidRPr="00130331" w:rsidRDefault="00CB7CB3" w:rsidP="00CB7CB3">
      <w:pPr>
        <w:pStyle w:val="Prrafodelista"/>
        <w:spacing w:after="0"/>
        <w:ind w:left="1843"/>
      </w:pPr>
    </w:p>
    <w:p w:rsidR="00896DF5" w:rsidRPr="00130331" w:rsidRDefault="00896DF5" w:rsidP="00CB7CB3">
      <w:pPr>
        <w:spacing w:after="0"/>
        <w:ind w:firstLine="708"/>
      </w:pPr>
      <w:r w:rsidRPr="00130331">
        <w:t>MATERIA 2: E</w:t>
      </w:r>
      <w:r w:rsidR="005670B2">
        <w:t xml:space="preserve">l mercado de renta variable </w:t>
      </w:r>
    </w:p>
    <w:p w:rsidR="00896DF5" w:rsidRPr="00130331" w:rsidRDefault="005670B2" w:rsidP="00CB7CB3">
      <w:pPr>
        <w:pStyle w:val="Prrafodelista"/>
        <w:numPr>
          <w:ilvl w:val="0"/>
          <w:numId w:val="25"/>
        </w:numPr>
        <w:spacing w:after="0"/>
        <w:ind w:left="1843" w:hanging="283"/>
      </w:pPr>
      <w:r>
        <w:t>Evaluación de las acciones</w:t>
      </w:r>
    </w:p>
    <w:p w:rsidR="00896DF5" w:rsidRPr="00130331" w:rsidRDefault="00896DF5" w:rsidP="00CB7CB3">
      <w:pPr>
        <w:pStyle w:val="Prrafodelista"/>
        <w:numPr>
          <w:ilvl w:val="0"/>
          <w:numId w:val="25"/>
        </w:numPr>
        <w:spacing w:after="0"/>
        <w:ind w:left="1843" w:hanging="283"/>
      </w:pPr>
      <w:r w:rsidRPr="00130331">
        <w:t>Acciones de creci</w:t>
      </w:r>
      <w:r w:rsidR="005670B2">
        <w:t>miento y acciones de valor</w:t>
      </w:r>
    </w:p>
    <w:p w:rsidR="00896DF5" w:rsidRPr="00130331" w:rsidRDefault="00896DF5" w:rsidP="00CB7CB3">
      <w:pPr>
        <w:pStyle w:val="Prrafodelista"/>
        <w:numPr>
          <w:ilvl w:val="0"/>
          <w:numId w:val="25"/>
        </w:numPr>
        <w:spacing w:after="0"/>
        <w:ind w:left="1843" w:hanging="283"/>
      </w:pPr>
      <w:r w:rsidRPr="00130331">
        <w:t>Mercado de acciones.</w:t>
      </w:r>
    </w:p>
    <w:p w:rsidR="00896DF5" w:rsidRPr="00130331" w:rsidRDefault="00896DF5" w:rsidP="00CB7CB3">
      <w:pPr>
        <w:pStyle w:val="Prrafodelista"/>
        <w:numPr>
          <w:ilvl w:val="0"/>
          <w:numId w:val="25"/>
        </w:numPr>
        <w:spacing w:after="0"/>
        <w:ind w:left="1843" w:hanging="283"/>
      </w:pPr>
      <w:r w:rsidRPr="00130331">
        <w:t>Aspectos lega</w:t>
      </w:r>
      <w:r w:rsidR="005670B2">
        <w:t xml:space="preserve">les del mercado de valores </w:t>
      </w:r>
    </w:p>
    <w:p w:rsidR="00CB7CB3" w:rsidRPr="00130331" w:rsidRDefault="00CB7CB3" w:rsidP="00CB7CB3">
      <w:pPr>
        <w:pStyle w:val="Prrafodelista"/>
        <w:spacing w:after="0"/>
        <w:ind w:left="1843"/>
      </w:pPr>
    </w:p>
    <w:p w:rsidR="00896DF5" w:rsidRPr="00130331" w:rsidRDefault="00B96A5F" w:rsidP="00CB7CB3">
      <w:pPr>
        <w:spacing w:after="0"/>
        <w:ind w:firstLine="708"/>
      </w:pPr>
      <w:r w:rsidRPr="00130331">
        <w:t>MATERIA 3</w:t>
      </w:r>
      <w:r w:rsidR="00896DF5" w:rsidRPr="00130331">
        <w:t>: Las</w:t>
      </w:r>
      <w:r w:rsidR="005670B2">
        <w:t xml:space="preserve"> acciones en la bolsa de valores</w:t>
      </w:r>
    </w:p>
    <w:p w:rsidR="00896DF5" w:rsidRPr="00130331" w:rsidRDefault="00B96A5F" w:rsidP="00CB7CB3">
      <w:pPr>
        <w:pStyle w:val="Prrafodelista"/>
        <w:numPr>
          <w:ilvl w:val="0"/>
          <w:numId w:val="26"/>
        </w:numPr>
        <w:spacing w:after="0"/>
        <w:ind w:left="1843" w:hanging="283"/>
      </w:pPr>
      <w:r w:rsidRPr="00130331">
        <w:t>Portales informati</w:t>
      </w:r>
      <w:r w:rsidR="005670B2">
        <w:t>vos del mercado de valores</w:t>
      </w:r>
    </w:p>
    <w:p w:rsidR="00B96A5F" w:rsidRPr="00130331" w:rsidRDefault="00B96A5F" w:rsidP="00CB7CB3">
      <w:pPr>
        <w:pStyle w:val="Prrafodelista"/>
        <w:numPr>
          <w:ilvl w:val="0"/>
          <w:numId w:val="26"/>
        </w:numPr>
        <w:spacing w:after="0"/>
        <w:ind w:left="1843" w:hanging="283"/>
      </w:pPr>
      <w:r w:rsidRPr="00130331">
        <w:t>Informa</w:t>
      </w:r>
      <w:r w:rsidR="005670B2">
        <w:t xml:space="preserve">ción financiera y bursátil </w:t>
      </w:r>
    </w:p>
    <w:p w:rsidR="00B96A5F" w:rsidRPr="00130331" w:rsidRDefault="005670B2" w:rsidP="00CB7CB3">
      <w:pPr>
        <w:pStyle w:val="Prrafodelista"/>
        <w:numPr>
          <w:ilvl w:val="0"/>
          <w:numId w:val="26"/>
        </w:numPr>
        <w:spacing w:after="0"/>
        <w:ind w:left="1843" w:hanging="283"/>
      </w:pPr>
      <w:r>
        <w:t xml:space="preserve">Dividendos y ganancias </w:t>
      </w:r>
    </w:p>
    <w:p w:rsidR="00B96A5F" w:rsidRDefault="005670B2" w:rsidP="00CB7CB3">
      <w:pPr>
        <w:pStyle w:val="Prrafodelista"/>
        <w:numPr>
          <w:ilvl w:val="0"/>
          <w:numId w:val="26"/>
        </w:numPr>
        <w:spacing w:after="0"/>
        <w:ind w:left="1843" w:hanging="283"/>
      </w:pPr>
      <w:r>
        <w:t xml:space="preserve">Comprando acciones </w:t>
      </w:r>
    </w:p>
    <w:p w:rsidR="00D70D8A" w:rsidRPr="00130331" w:rsidRDefault="00D70D8A" w:rsidP="00D70D8A">
      <w:pPr>
        <w:spacing w:after="0"/>
        <w:rPr>
          <w:b/>
          <w:color w:val="1F3864" w:themeColor="accent5" w:themeShade="80"/>
          <w:sz w:val="28"/>
        </w:rPr>
      </w:pPr>
      <w:r>
        <w:rPr>
          <w:b/>
          <w:color w:val="1F3864" w:themeColor="accent5" w:themeShade="80"/>
          <w:sz w:val="28"/>
        </w:rPr>
        <w:t>MÓDULO 5</w:t>
      </w:r>
      <w:r w:rsidRPr="00130331">
        <w:rPr>
          <w:b/>
          <w:color w:val="1F3864" w:themeColor="accent5" w:themeShade="80"/>
          <w:sz w:val="28"/>
        </w:rPr>
        <w:t xml:space="preserve">: </w:t>
      </w:r>
      <w:r>
        <w:rPr>
          <w:b/>
          <w:color w:val="1F3864" w:themeColor="accent5" w:themeShade="80"/>
          <w:sz w:val="28"/>
        </w:rPr>
        <w:t>Presupuesto</w:t>
      </w:r>
    </w:p>
    <w:p w:rsidR="00D70D8A" w:rsidRPr="00130331" w:rsidRDefault="00D70D8A" w:rsidP="00D70D8A">
      <w:pPr>
        <w:spacing w:after="0"/>
      </w:pPr>
    </w:p>
    <w:p w:rsidR="00D70D8A" w:rsidRPr="00130331" w:rsidRDefault="00D70D8A" w:rsidP="00D70D8A">
      <w:pPr>
        <w:spacing w:after="0"/>
        <w:ind w:firstLine="708"/>
      </w:pPr>
      <w:r w:rsidRPr="00130331">
        <w:t xml:space="preserve">MATERIA </w:t>
      </w:r>
      <w:r>
        <w:t>1: Función y alcance</w:t>
      </w:r>
    </w:p>
    <w:p w:rsidR="00D70D8A" w:rsidRPr="00130331" w:rsidRDefault="00D70D8A" w:rsidP="00D70D8A">
      <w:pPr>
        <w:pStyle w:val="Prrafodelista"/>
        <w:spacing w:after="0"/>
        <w:ind w:left="1843"/>
      </w:pPr>
    </w:p>
    <w:p w:rsidR="00D70D8A" w:rsidRPr="00130331" w:rsidRDefault="00D70D8A" w:rsidP="00D70D8A">
      <w:pPr>
        <w:spacing w:after="0"/>
        <w:ind w:firstLine="708"/>
      </w:pPr>
      <w:r>
        <w:t>MATERIA 2: Variables a Proyectar</w:t>
      </w:r>
    </w:p>
    <w:p w:rsidR="00D70D8A" w:rsidRPr="00130331" w:rsidRDefault="00D70D8A" w:rsidP="00D70D8A">
      <w:pPr>
        <w:pStyle w:val="Prrafodelista"/>
        <w:spacing w:after="0"/>
        <w:ind w:left="1843"/>
      </w:pPr>
    </w:p>
    <w:p w:rsidR="00D70D8A" w:rsidRDefault="00D70D8A" w:rsidP="00D70D8A">
      <w:pPr>
        <w:spacing w:after="0"/>
        <w:ind w:firstLine="708"/>
      </w:pPr>
      <w:r w:rsidRPr="00130331">
        <w:t>MATERIA 3</w:t>
      </w:r>
      <w:r>
        <w:t>: Ganancias y pérdidas proyectadas</w:t>
      </w:r>
    </w:p>
    <w:p w:rsidR="00D70D8A" w:rsidRDefault="00D70D8A" w:rsidP="00D70D8A">
      <w:pPr>
        <w:spacing w:after="0"/>
        <w:ind w:firstLine="708"/>
      </w:pPr>
    </w:p>
    <w:p w:rsidR="00D70D8A" w:rsidRPr="00130331" w:rsidRDefault="00D70D8A" w:rsidP="00D70D8A">
      <w:pPr>
        <w:spacing w:after="0"/>
        <w:ind w:firstLine="708"/>
      </w:pPr>
      <w:r>
        <w:t xml:space="preserve">MATERIA 4: Manejo de </w:t>
      </w:r>
      <w:bookmarkStart w:id="0" w:name="_GoBack"/>
      <w:bookmarkEnd w:id="0"/>
      <w:r>
        <w:t>escenarios</w:t>
      </w:r>
    </w:p>
    <w:p w:rsidR="00D70D8A" w:rsidRPr="00130331" w:rsidRDefault="00D70D8A" w:rsidP="00D70D8A">
      <w:pPr>
        <w:spacing w:after="0"/>
        <w:ind w:firstLine="708"/>
      </w:pPr>
    </w:p>
    <w:p w:rsidR="00D70D8A" w:rsidRPr="00130331" w:rsidRDefault="00D70D8A" w:rsidP="00D70D8A">
      <w:pPr>
        <w:spacing w:after="0"/>
      </w:pPr>
    </w:p>
    <w:p w:rsidR="00896DF5" w:rsidRDefault="00896DF5" w:rsidP="00896DF5"/>
    <w:p w:rsidR="00896DF5" w:rsidRDefault="00896DF5" w:rsidP="00896DF5"/>
    <w:p w:rsidR="00896DF5" w:rsidRDefault="00896DF5" w:rsidP="00AD295B"/>
    <w:p w:rsidR="00AD295B" w:rsidRDefault="00AD295B" w:rsidP="00AD295B"/>
    <w:p w:rsidR="00FD46AF" w:rsidRDefault="00FD46AF" w:rsidP="00FD46AF"/>
    <w:p w:rsidR="0077630C" w:rsidRDefault="0077630C" w:rsidP="0077630C"/>
    <w:p w:rsidR="000C461D" w:rsidRDefault="000C461D"/>
    <w:sectPr w:rsidR="000C461D" w:rsidSect="00C04995"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77" w:rsidRDefault="000D2C77" w:rsidP="00493F1A">
      <w:pPr>
        <w:spacing w:after="0" w:line="240" w:lineRule="auto"/>
      </w:pPr>
      <w:r>
        <w:separator/>
      </w:r>
    </w:p>
  </w:endnote>
  <w:endnote w:type="continuationSeparator" w:id="0">
    <w:p w:rsidR="000D2C77" w:rsidRDefault="000D2C77" w:rsidP="004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77" w:rsidRDefault="000D2C77" w:rsidP="00493F1A">
      <w:pPr>
        <w:spacing w:after="0" w:line="240" w:lineRule="auto"/>
      </w:pPr>
      <w:r>
        <w:separator/>
      </w:r>
    </w:p>
  </w:footnote>
  <w:footnote w:type="continuationSeparator" w:id="0">
    <w:p w:rsidR="000D2C77" w:rsidRDefault="000D2C77" w:rsidP="0049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ACE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A61"/>
    <w:multiLevelType w:val="hybridMultilevel"/>
    <w:tmpl w:val="4064BFB8"/>
    <w:lvl w:ilvl="0" w:tplc="2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8D74D37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5414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779E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57046"/>
    <w:multiLevelType w:val="hybridMultilevel"/>
    <w:tmpl w:val="0B4E319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11CA"/>
    <w:multiLevelType w:val="hybridMultilevel"/>
    <w:tmpl w:val="05AE49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108C6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F779A"/>
    <w:multiLevelType w:val="hybridMultilevel"/>
    <w:tmpl w:val="3146D35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E0EBF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85BDB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275F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25686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3798B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7595A"/>
    <w:multiLevelType w:val="hybridMultilevel"/>
    <w:tmpl w:val="F0440A5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73F75"/>
    <w:multiLevelType w:val="hybridMultilevel"/>
    <w:tmpl w:val="C6F8A702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D731C5A"/>
    <w:multiLevelType w:val="hybridMultilevel"/>
    <w:tmpl w:val="B500568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B1B07"/>
    <w:multiLevelType w:val="hybridMultilevel"/>
    <w:tmpl w:val="E420253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6142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E49B5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C4069"/>
    <w:multiLevelType w:val="hybridMultilevel"/>
    <w:tmpl w:val="69F2FD6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20C50"/>
    <w:multiLevelType w:val="hybridMultilevel"/>
    <w:tmpl w:val="117E6C7E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E22A0"/>
    <w:multiLevelType w:val="hybridMultilevel"/>
    <w:tmpl w:val="278455C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B380E"/>
    <w:multiLevelType w:val="hybridMultilevel"/>
    <w:tmpl w:val="7FF660D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A1902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23190"/>
    <w:multiLevelType w:val="hybridMultilevel"/>
    <w:tmpl w:val="BEE4C6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4"/>
  </w:num>
  <w:num w:numId="5">
    <w:abstractNumId w:val="25"/>
  </w:num>
  <w:num w:numId="6">
    <w:abstractNumId w:val="15"/>
  </w:num>
  <w:num w:numId="7">
    <w:abstractNumId w:val="1"/>
  </w:num>
  <w:num w:numId="8">
    <w:abstractNumId w:val="9"/>
  </w:num>
  <w:num w:numId="9">
    <w:abstractNumId w:val="22"/>
  </w:num>
  <w:num w:numId="10">
    <w:abstractNumId w:val="0"/>
  </w:num>
  <w:num w:numId="11">
    <w:abstractNumId w:val="20"/>
  </w:num>
  <w:num w:numId="12">
    <w:abstractNumId w:val="13"/>
  </w:num>
  <w:num w:numId="13">
    <w:abstractNumId w:val="21"/>
  </w:num>
  <w:num w:numId="14">
    <w:abstractNumId w:val="18"/>
  </w:num>
  <w:num w:numId="15">
    <w:abstractNumId w:val="3"/>
  </w:num>
  <w:num w:numId="16">
    <w:abstractNumId w:val="24"/>
  </w:num>
  <w:num w:numId="17">
    <w:abstractNumId w:val="5"/>
  </w:num>
  <w:num w:numId="18">
    <w:abstractNumId w:val="8"/>
  </w:num>
  <w:num w:numId="19">
    <w:abstractNumId w:val="23"/>
  </w:num>
  <w:num w:numId="20">
    <w:abstractNumId w:val="2"/>
  </w:num>
  <w:num w:numId="21">
    <w:abstractNumId w:val="7"/>
  </w:num>
  <w:num w:numId="22">
    <w:abstractNumId w:val="19"/>
  </w:num>
  <w:num w:numId="23">
    <w:abstractNumId w:val="12"/>
  </w:num>
  <w:num w:numId="24">
    <w:abstractNumId w:val="11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57100"/>
    <w:rsid w:val="000C26E5"/>
    <w:rsid w:val="000C461D"/>
    <w:rsid w:val="000D2C77"/>
    <w:rsid w:val="00130331"/>
    <w:rsid w:val="00153D48"/>
    <w:rsid w:val="001733AC"/>
    <w:rsid w:val="001968FC"/>
    <w:rsid w:val="00244E6B"/>
    <w:rsid w:val="00293486"/>
    <w:rsid w:val="002F539B"/>
    <w:rsid w:val="00350E02"/>
    <w:rsid w:val="0039290F"/>
    <w:rsid w:val="003B5AE8"/>
    <w:rsid w:val="003C5102"/>
    <w:rsid w:val="0049019A"/>
    <w:rsid w:val="00493F1A"/>
    <w:rsid w:val="005670B2"/>
    <w:rsid w:val="005C192D"/>
    <w:rsid w:val="005D5ED3"/>
    <w:rsid w:val="00661BB4"/>
    <w:rsid w:val="0067535D"/>
    <w:rsid w:val="006B063F"/>
    <w:rsid w:val="006D560B"/>
    <w:rsid w:val="00702B35"/>
    <w:rsid w:val="0073565A"/>
    <w:rsid w:val="00775D9F"/>
    <w:rsid w:val="0077630C"/>
    <w:rsid w:val="00835B70"/>
    <w:rsid w:val="00891F15"/>
    <w:rsid w:val="00896018"/>
    <w:rsid w:val="00896DF5"/>
    <w:rsid w:val="009157E6"/>
    <w:rsid w:val="00944A13"/>
    <w:rsid w:val="00960623"/>
    <w:rsid w:val="00967B48"/>
    <w:rsid w:val="009802AB"/>
    <w:rsid w:val="009B40A9"/>
    <w:rsid w:val="009D60AB"/>
    <w:rsid w:val="00A36496"/>
    <w:rsid w:val="00A37B99"/>
    <w:rsid w:val="00AD295B"/>
    <w:rsid w:val="00AE0152"/>
    <w:rsid w:val="00B236E6"/>
    <w:rsid w:val="00B955EA"/>
    <w:rsid w:val="00B96A5F"/>
    <w:rsid w:val="00BB08E4"/>
    <w:rsid w:val="00BD24F2"/>
    <w:rsid w:val="00BE44E7"/>
    <w:rsid w:val="00C04995"/>
    <w:rsid w:val="00C60F31"/>
    <w:rsid w:val="00CB7CB3"/>
    <w:rsid w:val="00CE161F"/>
    <w:rsid w:val="00CE778F"/>
    <w:rsid w:val="00D57645"/>
    <w:rsid w:val="00D70D8A"/>
    <w:rsid w:val="00E3778B"/>
    <w:rsid w:val="00E76F96"/>
    <w:rsid w:val="00EB6454"/>
    <w:rsid w:val="00F045C7"/>
    <w:rsid w:val="00FA6ACD"/>
    <w:rsid w:val="00FD46AF"/>
    <w:rsid w:val="00FE1360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B4CA27-516A-4A69-8848-059CECE6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MaryFlorD</dc:creator>
  <cp:lastModifiedBy>Alejandro</cp:lastModifiedBy>
  <cp:revision>16</cp:revision>
  <cp:lastPrinted>2014-11-22T16:03:00Z</cp:lastPrinted>
  <dcterms:created xsi:type="dcterms:W3CDTF">2014-11-22T15:49:00Z</dcterms:created>
  <dcterms:modified xsi:type="dcterms:W3CDTF">2015-07-14T18:18:00Z</dcterms:modified>
</cp:coreProperties>
</file>